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center" w:pos="4680"/>
        </w:tabs>
        <w:jc w:val="both"/>
        <w:rPr>
          <w:rFonts w:ascii="Courier New" w:cs="Courier New" w:hAnsi="Courier New" w:eastAsia="Courier New"/>
          <w:b w:val="1"/>
          <w:bCs w:val="1"/>
          <w:sz w:val="24"/>
          <w:szCs w:val="24"/>
        </w:rPr>
      </w:pPr>
      <w:r>
        <w:rPr>
          <w:rFonts w:ascii="Courier New" w:hAnsi="Courier New"/>
          <w:sz w:val="24"/>
          <w:szCs w:val="24"/>
        </w:rPr>
        <w:tab/>
      </w:r>
      <w:r>
        <w:rPr>
          <w:rFonts w:ascii="Courier New" w:hAnsi="Courier New"/>
          <w:b w:val="1"/>
          <w:bCs w:val="1"/>
          <w:sz w:val="24"/>
          <w:szCs w:val="24"/>
          <w:rtl w:val="0"/>
          <w:lang w:val="en-US"/>
        </w:rPr>
        <w:t>CHAPTER 15</w:t>
      </w:r>
    </w:p>
    <w:p>
      <w:pPr>
        <w:pStyle w:val="Normal.0"/>
        <w:tabs>
          <w:tab w:val="center" w:pos="4680"/>
        </w:tabs>
        <w:spacing w:line="120" w:lineRule="auto"/>
        <w:jc w:val="both"/>
        <w:rPr>
          <w:rFonts w:ascii="Courier New" w:cs="Courier New" w:hAnsi="Courier New" w:eastAsia="Courier New"/>
          <w:sz w:val="24"/>
          <w:szCs w:val="24"/>
        </w:rPr>
      </w:pPr>
      <w:r>
        <w:rPr>
          <w:rFonts w:ascii="Courier New" w:hAnsi="Courier New"/>
          <w:sz w:val="24"/>
          <w:szCs w:val="24"/>
          <w:rtl w:val="0"/>
          <w:lang w:val="en-US"/>
        </w:rPr>
        <w:t xml:space="preserve"> </w:t>
      </w:r>
    </w:p>
    <w:p>
      <w:pPr>
        <w:pStyle w:val="Normal.0"/>
        <w:tabs>
          <w:tab w:val="center" w:pos="4680"/>
        </w:tabs>
        <w:jc w:val="both"/>
        <w:rPr>
          <w:rFonts w:ascii="Courier New" w:cs="Courier New" w:hAnsi="Courier New" w:eastAsia="Courier New"/>
          <w:sz w:val="24"/>
          <w:szCs w:val="24"/>
        </w:rPr>
      </w:pPr>
      <w:r>
        <w:rPr>
          <w:rFonts w:ascii="Courier New" w:cs="Courier New" w:hAnsi="Courier New" w:eastAsia="Courier New"/>
          <w:sz w:val="24"/>
          <w:szCs w:val="24"/>
        </w:rPr>
        <w:tab/>
      </w:r>
      <w:r>
        <w:rPr>
          <w:rFonts w:ascii="Courier New" w:hAnsi="Courier New"/>
          <w:b w:val="1"/>
          <w:bCs w:val="1"/>
          <w:sz w:val="24"/>
          <w:szCs w:val="24"/>
          <w:rtl w:val="0"/>
          <w:lang w:val="en-US"/>
        </w:rPr>
        <w:t>RECORDS AND REPORTS</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15.1</w:t>
        <w:tab/>
        <w:t>Payroll and Attendance Records</w:t>
      </w:r>
    </w:p>
    <w:p>
      <w:pPr>
        <w:pStyle w:val="Normal.0"/>
        <w:jc w:val="both"/>
        <w:rPr>
          <w:rFonts w:ascii="Courier New" w:cs="Courier New" w:hAnsi="Courier New" w:eastAsia="Courier New"/>
          <w:sz w:val="24"/>
          <w:szCs w:val="24"/>
        </w:rPr>
      </w:pPr>
    </w:p>
    <w:p>
      <w:pPr>
        <w:pStyle w:val="Normal.0"/>
        <w:ind w:left="720" w:firstLine="0"/>
        <w:jc w:val="both"/>
        <w:rPr>
          <w:rFonts w:ascii="Courier New" w:cs="Courier New" w:hAnsi="Courier New" w:eastAsia="Courier New"/>
          <w:sz w:val="24"/>
          <w:szCs w:val="24"/>
        </w:rPr>
      </w:pPr>
      <w:r>
        <w:rPr>
          <w:rFonts w:ascii="Courier New" w:hAnsi="Courier New"/>
          <w:sz w:val="24"/>
          <w:szCs w:val="24"/>
          <w:rtl w:val="0"/>
          <w:lang w:val="en-US"/>
        </w:rPr>
        <w:t>It shall be the duty of each appointing authority to install a system of payroll and attendance records.  Such system or systems shall be so designated as to facilitate the maintenance of adequate personnel records and to eliminate duplication of accounting and reporting to the fullest extent practicable.</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15.2</w:t>
        <w:tab/>
        <w:t>Certification of Payroll and Attendance</w:t>
      </w:r>
    </w:p>
    <w:p>
      <w:pPr>
        <w:pStyle w:val="Normal.0"/>
        <w:jc w:val="both"/>
        <w:rPr>
          <w:rFonts w:ascii="Courier New" w:cs="Courier New" w:hAnsi="Courier New" w:eastAsia="Courier New"/>
          <w:sz w:val="24"/>
          <w:szCs w:val="24"/>
        </w:rPr>
      </w:pPr>
    </w:p>
    <w:p>
      <w:pPr>
        <w:pStyle w:val="Normal.0"/>
        <w:ind w:left="720" w:firstLine="0"/>
        <w:jc w:val="both"/>
        <w:rPr>
          <w:rFonts w:ascii="Courier New" w:cs="Courier New" w:hAnsi="Courier New" w:eastAsia="Courier New"/>
          <w:sz w:val="24"/>
          <w:szCs w:val="24"/>
        </w:rPr>
      </w:pPr>
      <w:r>
        <w:rPr>
          <w:rFonts w:ascii="Courier New" w:hAnsi="Courier New"/>
          <w:sz w:val="24"/>
          <w:szCs w:val="24"/>
          <w:rtl w:val="0"/>
          <w:lang w:val="en-US"/>
        </w:rPr>
        <w:t>The appointing authority or his agent designated for this purpose shall certify on each payroll or subsidiary documents the actual rendering of service in the position, the actual number of hours of attendance on duty, and the number of hours of absence from duty.  Each employee shall certify also the fact of the actual rendering service, the number of hours of absence from duty.</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15.2.1 Payroll Periods and Timely Issuance of Paychecks Due to            Classified Employees</w:t>
      </w:r>
    </w:p>
    <w:p>
      <w:pPr>
        <w:pStyle w:val="Normal.0"/>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(a)</w:t>
        <w:tab/>
        <w:t>An appointing authority, the Commissioner of Administration on behalf of the Uniform Payroll System, or the head of any other payroll system responsible for issuing paychecks to classified employees, shall establish weekly, biweekly, semi-monthly, or monthly payroll periods.  Use of any other pay cycles must be approved by the Director.</w:t>
      </w:r>
    </w:p>
    <w:p>
      <w:pPr>
        <w:pStyle w:val="Normal.0"/>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(b)</w:t>
        <w:tab/>
        <w:t>Paychecks due to classified employees shall be issued no later than seven calendar days following the end of the applicable payroll period unless approval is obtained from the Director under conditions established by him.</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15.3</w:t>
        <w:tab/>
        <w:t>Personnel Action Forms</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The Director shall prescribe personnel action forms which appointing authorities shall use to report such personnel actions and status changes as he may require.</w:t>
      </w:r>
      <w:r>
        <w:rPr>
          <w:rFonts w:ascii="Courier New" w:hAnsi="Courier New"/>
          <w:sz w:val="24"/>
          <w:szCs w:val="24"/>
          <w:rtl w:val="0"/>
          <w:lang w:val="en-US"/>
        </w:rPr>
        <w:t xml:space="preserve"> T</w:t>
      </w:r>
      <w:r>
        <w:rPr>
          <w:rFonts w:ascii="Courier New" w:hAnsi="Courier New"/>
          <w:sz w:val="24"/>
          <w:szCs w:val="24"/>
          <w:rtl w:val="0"/>
          <w:lang w:val="en-US"/>
        </w:rPr>
        <w:t>he Director shall inform the appointing authorities which personnel actions and status changes must be reported to him.</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Personnel action forms approved by the Director shall constitute authorization for payment by the appointing authority of compensation of an employee at the rate specified on the appropriate form as long as he remains an employee in a pay status.  The appointing authority shall furnish a copy of each such form to the employee concerned.</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15.4</w:t>
        <w:tab/>
        <w:t>Approval of Personnel Action Forms</w:t>
      </w:r>
    </w:p>
    <w:p>
      <w:pPr>
        <w:pStyle w:val="Normal.0"/>
        <w:jc w:val="both"/>
        <w:rPr>
          <w:rFonts w:ascii="Courier New" w:cs="Courier New" w:hAnsi="Courier New" w:eastAsia="Courier New"/>
          <w:sz w:val="24"/>
          <w:szCs w:val="24"/>
        </w:rPr>
      </w:pPr>
    </w:p>
    <w:p>
      <w:pPr>
        <w:pStyle w:val="Normal.0"/>
        <w:ind w:left="720" w:firstLine="0"/>
        <w:jc w:val="both"/>
        <w:rPr>
          <w:rFonts w:ascii="Courier New" w:cs="Courier New" w:hAnsi="Courier New" w:eastAsia="Courier New"/>
          <w:sz w:val="24"/>
          <w:szCs w:val="24"/>
        </w:rPr>
      </w:pPr>
      <w:r>
        <w:rPr>
          <w:rFonts w:ascii="Courier New" w:hAnsi="Courier New"/>
          <w:sz w:val="24"/>
          <w:szCs w:val="24"/>
          <w:rtl w:val="0"/>
          <w:lang w:val="en-US"/>
        </w:rPr>
        <w:t>The Director shall have the discretion of not approving any form indicating appointing or employment status change to be effective more than 20 calendar days prior to receipt by him of such form.</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15.5</w:t>
        <w:tab/>
        <w:t>Leave Records</w:t>
      </w:r>
    </w:p>
    <w:p>
      <w:pPr>
        <w:pStyle w:val="Normal.0"/>
        <w:jc w:val="both"/>
        <w:rPr>
          <w:rFonts w:ascii="Courier New" w:cs="Courier New" w:hAnsi="Courier New" w:eastAsia="Courier New"/>
          <w:sz w:val="24"/>
          <w:szCs w:val="24"/>
        </w:rPr>
      </w:pPr>
    </w:p>
    <w:p>
      <w:pPr>
        <w:pStyle w:val="Normal.0"/>
        <w:ind w:left="720" w:firstLine="0"/>
        <w:jc w:val="both"/>
        <w:rPr>
          <w:rFonts w:ascii="Courier New" w:cs="Courier New" w:hAnsi="Courier New" w:eastAsia="Courier New"/>
          <w:sz w:val="24"/>
          <w:szCs w:val="24"/>
        </w:rPr>
      </w:pPr>
      <w:r>
        <w:rPr>
          <w:rFonts w:ascii="Courier New" w:hAnsi="Courier New"/>
          <w:sz w:val="24"/>
          <w:szCs w:val="24"/>
          <w:rtl w:val="0"/>
          <w:lang w:val="en-US"/>
        </w:rPr>
        <w:t>Each appointing authority shall install and maintain a leave record showing, for each employee who holds a position in the Classified Service, (1) annual leave earned, used and unused, (2) sick leave earned, used and unused, and (3) any special leave with or without pay.  Such record shall be documentary evidence to support and justify the certification of authorized leave of absence with pay.</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15.6</w:t>
        <w:tab/>
        <w:t>The Director may from time to time examine departmental payrolls and personnel records to determine whether such records reflect the employment of any person or persons in violation of any provision of the State Police Commission Article or Rules.</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15.7</w:t>
        <w:tab/>
        <w:t>Actions on Violation of the Rules</w:t>
      </w:r>
    </w:p>
    <w:p>
      <w:pPr>
        <w:pStyle w:val="Normal.0"/>
        <w:jc w:val="both"/>
        <w:rPr>
          <w:rFonts w:ascii="Courier New" w:cs="Courier New" w:hAnsi="Courier New" w:eastAsia="Courier New"/>
          <w:sz w:val="24"/>
          <w:szCs w:val="24"/>
        </w:rPr>
      </w:pPr>
    </w:p>
    <w:p>
      <w:pPr>
        <w:pStyle w:val="Normal.0"/>
        <w:ind w:left="720" w:firstLine="0"/>
        <w:jc w:val="both"/>
        <w:rPr>
          <w:rFonts w:ascii="Courier New" w:cs="Courier New" w:hAnsi="Courier New" w:eastAsia="Courier New"/>
          <w:sz w:val="24"/>
          <w:szCs w:val="24"/>
        </w:rPr>
      </w:pPr>
      <w:r>
        <w:rPr>
          <w:rFonts w:ascii="Courier New" w:hAnsi="Courier New"/>
          <w:sz w:val="24"/>
          <w:szCs w:val="24"/>
          <w:rtl w:val="0"/>
          <w:lang w:val="en-US"/>
        </w:rPr>
        <w:t>If the Director finds that any person has been appointed, transferred, non</w:t>
      </w:r>
      <w:r>
        <w:rPr>
          <w:rFonts w:ascii="Courier New" w:hAnsi="Courier New"/>
          <w:sz w:val="24"/>
          <w:szCs w:val="24"/>
          <w:rtl w:val="0"/>
          <w:lang w:val="en-US"/>
        </w:rPr>
        <w:t>-</w:t>
      </w:r>
      <w:r>
        <w:rPr>
          <w:rFonts w:ascii="Courier New" w:hAnsi="Courier New"/>
          <w:sz w:val="24"/>
          <w:szCs w:val="24"/>
          <w:rtl w:val="0"/>
          <w:lang w:val="en-US"/>
        </w:rPr>
        <w:t>competitively re-employed, continued, or otherwise employed in violation of any provision of the</w:t>
      </w:r>
    </w:p>
    <w:p>
      <w:pPr>
        <w:pStyle w:val="Normal.0"/>
        <w:ind w:left="720" w:firstLine="0"/>
        <w:jc w:val="both"/>
        <w:rPr>
          <w:rFonts w:ascii="Courier New" w:cs="Courier New" w:hAnsi="Courier New" w:eastAsia="Courier New"/>
          <w:sz w:val="24"/>
          <w:szCs w:val="24"/>
        </w:rPr>
      </w:pPr>
      <w:r>
        <w:rPr>
          <w:rFonts w:ascii="Courier New" w:hAnsi="Courier New"/>
          <w:sz w:val="24"/>
          <w:szCs w:val="24"/>
          <w:rtl w:val="0"/>
          <w:lang w:val="en-US"/>
        </w:rPr>
        <w:t>Article or Rules, he shall notify the fiscal officer of the department of such violation and take such other action as may be authorized or required by the Article or Rules.</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15.8</w:t>
        <w:tab/>
        <w:t>Official Roster</w:t>
      </w:r>
    </w:p>
    <w:p>
      <w:pPr>
        <w:pStyle w:val="Normal.0"/>
        <w:jc w:val="both"/>
        <w:rPr>
          <w:rFonts w:ascii="Courier New" w:cs="Courier New" w:hAnsi="Courier New" w:eastAsia="Courier New"/>
          <w:sz w:val="24"/>
          <w:szCs w:val="24"/>
        </w:rPr>
      </w:pPr>
    </w:p>
    <w:p>
      <w:pPr>
        <w:pStyle w:val="Normal.0"/>
        <w:ind w:left="720" w:firstLine="0"/>
        <w:jc w:val="both"/>
        <w:rPr>
          <w:rFonts w:ascii="Courier New" w:cs="Courier New" w:hAnsi="Courier New" w:eastAsia="Courier New"/>
          <w:sz w:val="24"/>
          <w:szCs w:val="24"/>
        </w:rPr>
      </w:pPr>
      <w:r>
        <w:rPr>
          <w:rFonts w:ascii="Courier New" w:hAnsi="Courier New"/>
          <w:sz w:val="24"/>
          <w:szCs w:val="24"/>
          <w:rtl w:val="0"/>
          <w:lang w:val="en-US"/>
        </w:rPr>
        <w:t>The Director shall establish and maintain a roster of all Classified employees of all departments in which there shall be set forth as to each employee, the class title or the position held; the salary or pay; any change in class title, pay or status, and any other necessary date.</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15.9</w:t>
        <w:tab/>
        <w:t>Records of the State Police Commission</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The State Police Commission shall be the official depository of the records of the Department and the Commission.</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Subject to the provisions of Sub-section (c) hereof, all records so deposited shall be public records and their inspection, availability and regulation shall be subject and governed by the statutory provisions governing public records and documents.</w:t>
      </w:r>
    </w:p>
    <w:p>
      <w:pPr>
        <w:pStyle w:val="Normal.0"/>
        <w:ind w:left="1440" w:hanging="72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The following records shall be held confidential:</w:t>
      </w:r>
    </w:p>
    <w:p>
      <w:pPr>
        <w:pStyle w:val="Normal.0"/>
        <w:spacing w:line="96" w:lineRule="auto"/>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1.</w:t>
        <w:tab/>
        <w:t>Investigation correspondence and date related to the moral character and reputation of applicants for employment or employees in the Classified service.</w:t>
      </w:r>
    </w:p>
    <w:p>
      <w:pPr>
        <w:pStyle w:val="Normal.0"/>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2.</w:t>
        <w:tab/>
        <w:t>Examination materials, questions, date and examination papers and records relating in any way to competitive examinations and other tests constructed, maintained, or conducted by the State Police Commission.</w:t>
      </w:r>
    </w:p>
    <w:p>
      <w:pPr>
        <w:pStyle w:val="Normal.0"/>
        <w:ind w:left="2160" w:hanging="720"/>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bookmarkStart w:name="QuickMark" w:id="0"/>
      <w:r>
        <w:rPr>
          <w:rFonts w:ascii="Courier New" w:hAnsi="Courier New"/>
          <w:sz w:val="24"/>
          <w:szCs w:val="24"/>
          <w:rtl w:val="0"/>
          <w:lang w:val="en-US"/>
        </w:rPr>
        <w:t>3.</w:t>
        <w:tab/>
        <w:t>Files, statements, reports, correspondence and other data in connection with and related to investigations of violations of the Article or Rules, when such inquiries are conducted by the Commission or the Director, other than that which is admitted in evidence at a public hearing.</w:t>
      </w:r>
    </w:p>
    <w:p>
      <w:pPr>
        <w:pStyle w:val="Normal.0"/>
        <w:spacing w:line="168" w:lineRule="auto"/>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4.</w:t>
        <w:tab/>
        <w:t>Files, statements, reports, correspondence and other data collected in the course of salary surveys which identify private corporations with the actual salary rates and practices of that organization; or that reveal organizational characteristics that would make the corporation easily identifiable.</w:t>
      </w: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5.</w:t>
        <w:tab/>
        <w:t>Any decision of the Commission on an appeal or any contents thereof until the day that the decision is filed with the Director in accordance with Rule 13.28.</w:t>
      </w:r>
    </w:p>
    <w:p>
      <w:pPr>
        <w:pStyle w:val="Normal.0"/>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6.</w:t>
        <w:tab/>
        <w:t>Any proposed decision of the commission on an appeal or any contents thereof prepared by a Commission member or by a referee, until the decision is filed with the Director in accordance with Rule 13.28.</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15.10 Modification of Personnel Actions</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Subject to the provision of Sub-section (c) of this Rule an appointing authority may, prior to the effective date thereof, rescind or modify any personnel action notified to the Director.</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Subject to the provisions of Sub-section (c) of  this Rule an appointing authority may, subsequent to the effective date thereof and with the approval Director, rescind or modify any personnel action notified to the Director.</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bookmarkEnd w:id="0"/>
      <w:r>
        <w:rPr>
          <w:rFonts w:ascii="Courier New" w:hAnsi="Courier New"/>
          <w:sz w:val="24"/>
          <w:szCs w:val="24"/>
          <w:rtl w:val="0"/>
          <w:lang w:val="en-US"/>
        </w:rPr>
        <w:t>(c)</w:t>
        <w:tab/>
        <w:t>No removal, demotion or reduction in pay of a permanent employee may be rescinded or modified without approval of the Commission or a Referee nor may any disciplinary action which is the subject of an appeal be rescinded or modified without approval of the Commission or a Referee.</w:t>
      </w:r>
    </w:p>
    <w:p>
      <w:pPr>
        <w:pStyle w:val="Normal.0"/>
        <w:jc w:val="both"/>
        <w:rPr>
          <w:rFonts w:ascii="Courier New" w:cs="Courier New" w:hAnsi="Courier New" w:eastAsia="Courier New"/>
          <w:sz w:val="24"/>
          <w:szCs w:val="24"/>
        </w:rPr>
      </w:pPr>
    </w:p>
    <w:p>
      <w:pPr>
        <w:pStyle w:val="Normal.0"/>
        <w:ind w:left="1440" w:hanging="1440"/>
        <w:jc w:val="both"/>
      </w:pPr>
      <w:r>
        <w:rPr>
          <w:rFonts w:ascii="Courier New" w:hAnsi="Courier New"/>
          <w:sz w:val="24"/>
          <w:szCs w:val="24"/>
          <w:rtl w:val="0"/>
          <w:lang w:val="en-US"/>
        </w:rPr>
        <w:t>15.11</w:t>
        <w:tab/>
        <w:t>The Director may prescribe such personnel forms and procedures as may be necessary or desirable to carry out the provisions of the Article and Rules.</w:t>
      </w:r>
    </w:p>
    <w:sectPr>
      <w:headerReference w:type="default" r:id="rId4"/>
      <w:footerReference w:type="default" r:id="rId5"/>
      <w:pgSz w:w="12240" w:h="15840" w:orient="portrait"/>
      <w:pgMar w:top="1440" w:right="1440" w:bottom="144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